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rPr>
          <w:rFonts w:ascii="Cambria" w:cs="Cambria" w:eastAsia="Cambria" w:hAnsi="Cambria"/>
          <w:b/>
          <w:bCs/>
          <w:color w:val="16203A"/>
          <w:sz w:val="40"/>
          <w:szCs w:val="40"/>
        </w:rPr>
        <w:t xml:space="preserve">TowerControls</w:t>
      </w:r>
      <w:r>
        <w:rPr>
          <w:rFonts w:ascii="Cambria" w:cs="Cambria" w:eastAsia="Cambria" w:hAnsi="Cambria"/>
          <w:b/>
          <w:bCs/>
          <w:color w:val="2D6CDF"/>
          <w:sz w:val="40"/>
          <w:szCs w:val="40"/>
        </w:rPr>
        <w:t xml:space="preserve">.Ai</w:t>
      </w:r>
    </w:p>
    <w:p>
      <w:pPr>
        <w:spacing w:after="700" w:before="40"/>
      </w:pPr>
      <w:r>
        <w:rPr>
          <w:rFonts w:ascii="Arial" w:cs="Arial" w:eastAsia="Arial" w:hAnsi="Arial"/>
          <w:b/>
          <w:bCs/>
          <w:color w:val="6A4DF0"/>
          <w:spacing w:val="60"/>
          <w:sz w:val="20"/>
          <w:szCs w:val="20"/>
        </w:rPr>
        <w:t xml:space="preserve">WHITE PAPER</w:t>
      </w:r>
    </w:p>
    <w:p>
      <w:pPr>
        <w:spacing w:after="200"/>
      </w:pPr>
      <w:r>
        <w:rPr>
          <w:rFonts w:ascii="Cambria" w:cs="Cambria" w:eastAsia="Cambria" w:hAnsi="Cambria"/>
          <w:b/>
          <w:bCs/>
          <w:color w:val="16203A"/>
          <w:sz w:val="52"/>
          <w:szCs w:val="52"/>
        </w:rPr>
        <w:t xml:space="preserve">Continuous, Automated Authorization for Regulated AWS</w:t>
      </w:r>
    </w:p>
    <w:p>
      <w:pPr>
        <w:spacing w:after="1000"/>
      </w:pPr>
      <w:r>
        <w:rPr>
          <w:rFonts w:ascii="Arial" w:cs="Arial" w:eastAsia="Arial" w:hAnsi="Arial"/>
          <w:color w:val="5B6473"/>
          <w:sz w:val="24"/>
          <w:szCs w:val="24"/>
        </w:rPr>
        <w:t xml:space="preserve">How a no-console control plane over AWS Control Tower and the Landing Zone Accelerator collapses the path from a brand-new account to continuous ATO.</w:t>
      </w:r>
    </w:p>
    <w:p>
      <w:pPr>
        <w:spacing w:after="0"/>
      </w:pPr>
      <w:r>
        <w:rPr>
          <w:rFonts w:ascii="Arial" w:cs="Arial" w:eastAsia="Arial" w:hAnsi="Arial"/>
          <w:b/>
          <w:bCs/>
          <w:color w:val="1B2233"/>
          <w:sz w:val="20"/>
          <w:szCs w:val="20"/>
        </w:rPr>
        <w:t xml:space="preserve">June 2026</w:t>
      </w:r>
    </w:p>
    <w:p>
      <w:pPr>
        <w:spacing w:after="0"/>
      </w:pPr>
      <w:r>
        <w:rPr>
          <w:rFonts w:ascii="Arial" w:cs="Arial" w:eastAsia="Arial" w:hAnsi="Arial"/>
          <w:color w:val="5B6473"/>
          <w:sz w:val="19"/>
          <w:szCs w:val="19"/>
        </w:rPr>
        <w:t xml:space="preserve">TowerControls.Ai  ·  Mission control for your AWS organization</w:t>
      </w:r>
    </w:p>
    <w:p>
      <w:r>
        <w:br w:type="page"/>
      </w:r>
    </w:p>
    <w:p>
      <w:pPr>
        <w:pStyle w:val="Heading1"/>
        <w:spacing w:after="140" w:before="320"/>
      </w:pPr>
      <w:r>
        <w:rPr>
          <w:rFonts w:ascii="Cambria" w:cs="Cambria" w:eastAsia="Cambria" w:hAnsi="Cambria"/>
          <w:b/>
          <w:bCs/>
          <w:color w:val="16203A"/>
          <w:sz w:val="30"/>
          <w:szCs w:val="30"/>
        </w:rPr>
        <w:t xml:space="preserve">Executive Summary</w:t>
      </w:r>
    </w:p>
    <w:p>
      <w:pPr>
        <w:spacing w:after="140" w:line="276"/>
      </w:pPr>
      <w:r>
        <w:rPr>
          <w:rFonts w:ascii="Arial" w:cs="Arial" w:eastAsia="Arial" w:hAnsi="Arial"/>
          <w:color w:val="1B2233"/>
          <w:sz w:val="21"/>
          <w:szCs w:val="21"/>
        </w:rPr>
        <w:t xml:space="preserve">Every organization that wants to run regulated workloads in the cloud hits the same wall: governance and compliance. Standing up a compliant AWS environment means orchestrating a dozen services — Control Tower, Organizations, the Landing Zone Accelerator, Config, Security Hub, GuardDuty, IAM Identity Center — each behind its own console. Proving compliance against NIST 800-53 means tracking more than a thousand controls, gathering evidence by hand, and assembling an authorization package that can take six to eighteen months to clear.</w:t>
      </w:r>
    </w:p>
    <w:p>
      <w:pPr>
        <w:spacing w:after="140" w:line="276"/>
      </w:pPr>
      <w:r>
        <w:rPr>
          <w:rFonts w:ascii="Arial" w:cs="Arial" w:eastAsia="Arial" w:hAnsi="Arial"/>
          <w:color w:val="1B2233"/>
          <w:sz w:val="21"/>
          <w:szCs w:val="21"/>
        </w:rPr>
        <w:t xml:space="preserve">TowerControls replaces that sprawl with a single control plane. It reads live from the AWS organization and turns Control Tower, the Landing Zone Accelerator, and the security posture of every account into one operator-friendly surface — with AI woven through every layer. Teams stand up a governed landing zone, migrate and baseline accounts, watch posture in real time, and generate audit-ready OSCAL evidence and FedRAMP packages from the same place. An embedded AI assistant, available on every screen, explains the product, guides each task, and consults on every finding. It installs into the customer's own account, single-tenant, and the entire Day-0 sequence — organization, Control Tower, and Landing Zone Accelerator — runs from one command.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4DF0" w:sz="4"/>
              <w:left w:val="single" w:color="6A4DF0" w:sz="4"/>
              <w:bottom w:val="single" w:color="6A4DF0" w:sz="4"/>
              <w:right w:val="single" w:color="6A4DF0" w:sz="4"/>
            </w:tcBorders>
            <w:shd w:fill="F3F1FE" w:val="clear"/>
            <w:tcMar>
              <w:top w:type="dxa" w:w="130"/>
              <w:left w:type="dxa" w:w="180"/>
              <w:bottom w:type="dxa" w:w="130"/>
              <w:right w:type="dxa" w:w="180"/>
            </w:tcMar>
          </w:tcPr>
          <w:p>
            <w:pPr>
              <w:spacing w:after="60"/>
            </w:pPr>
            <w:r>
              <w:rPr>
                <w:rFonts w:ascii="Arial" w:cs="Arial" w:eastAsia="Arial" w:hAnsi="Arial"/>
                <w:b/>
                <w:bCs/>
                <w:caps/>
                <w:color w:val="6A4DF0"/>
                <w:sz w:val="19"/>
                <w:szCs w:val="19"/>
              </w:rPr>
              <w:t xml:space="preserve">The thesis</w:t>
            </w:r>
          </w:p>
          <w:p>
            <w:pPr>
              <w:spacing w:after="0" w:line="270"/>
            </w:pPr>
            <w:r>
              <w:rPr>
                <w:rFonts w:ascii="Arial" w:cs="Arial" w:eastAsia="Arial" w:hAnsi="Arial"/>
                <w:color w:val="1B2233"/>
                <w:sz w:val="21"/>
                <w:szCs w:val="21"/>
              </w:rPr>
              <w:t xml:space="preserve">Most of the work between a fresh AWS account and an Authority to Operate is repeatable, evidence-driven, and automatable. Whoever makes it automatic owns the next decade of regulated cloud.</w:t>
            </w:r>
          </w:p>
        </w:tc>
      </w:tr>
    </w:tbl>
    <w:p>
      <w:pPr>
        <w:pStyle w:val="Heading1"/>
        <w:spacing w:after="140" w:before="320"/>
      </w:pPr>
      <w:r>
        <w:rPr>
          <w:rFonts w:ascii="Cambria" w:cs="Cambria" w:eastAsia="Cambria" w:hAnsi="Cambria"/>
          <w:b/>
          <w:bCs/>
          <w:color w:val="16203A"/>
          <w:sz w:val="30"/>
          <w:szCs w:val="30"/>
        </w:rPr>
        <w:t xml:space="preserve">1.  The Problem: Governed AWS Is Where Compliance Stalls</w:t>
      </w:r>
    </w:p>
    <w:p>
      <w:pPr>
        <w:spacing w:after="140" w:line="276"/>
      </w:pPr>
      <w:r>
        <w:rPr>
          <w:rFonts w:ascii="Arial" w:cs="Arial" w:eastAsia="Arial" w:hAnsi="Arial"/>
          <w:color w:val="1B2233"/>
          <w:sz w:val="21"/>
          <w:szCs w:val="21"/>
        </w:rPr>
        <w:t xml:space="preserve">AWS gives regulated teams powerful primitives, but assembling them into a compliant, auditable, continuously-governed organization remains slow, manual, and fragile.</w:t>
      </w:r>
    </w:p>
    <w:p>
      <w:pPr>
        <w:pStyle w:val="Heading2"/>
        <w:spacing w:after="100" w:before="220"/>
      </w:pPr>
      <w:r>
        <w:rPr>
          <w:rFonts w:ascii="Arial" w:cs="Arial" w:eastAsia="Arial" w:hAnsi="Arial"/>
          <w:b/>
          <w:bCs/>
          <w:color w:val="6A4DF0"/>
          <w:sz w:val="23"/>
          <w:szCs w:val="23"/>
        </w:rPr>
        <w:t xml:space="preserve">Console sprawl</w:t>
      </w:r>
    </w:p>
    <w:p>
      <w:pPr>
        <w:spacing w:after="140" w:line="276"/>
      </w:pPr>
      <w:r>
        <w:rPr>
          <w:rFonts w:ascii="Arial" w:cs="Arial" w:eastAsia="Arial" w:hAnsi="Arial"/>
          <w:color w:val="1B2233"/>
          <w:sz w:val="21"/>
          <w:szCs w:val="21"/>
        </w:rPr>
        <w:t xml:space="preserve">A compliant landing zone touches Control Tower, Organizations, the Landing Zone Accelerator, Config, Security Hub, GuardDuty, Inspector, CloudTrail, and IAM Identity Center. Each has its own console, its own mental model, and no shared view of where the organization actually stands.</w:t>
      </w:r>
    </w:p>
    <w:p>
      <w:pPr>
        <w:pStyle w:val="Heading2"/>
        <w:spacing w:after="100" w:before="220"/>
      </w:pPr>
      <w:r>
        <w:rPr>
          <w:rFonts w:ascii="Arial" w:cs="Arial" w:eastAsia="Arial" w:hAnsi="Arial"/>
          <w:b/>
          <w:bCs/>
          <w:color w:val="6A4DF0"/>
          <w:sz w:val="23"/>
          <w:szCs w:val="23"/>
        </w:rPr>
        <w:t xml:space="preserve">Compliance by spreadsheet</w:t>
      </w:r>
    </w:p>
    <w:p>
      <w:pPr>
        <w:spacing w:after="140" w:line="276"/>
      </w:pPr>
      <w:r>
        <w:rPr>
          <w:rFonts w:ascii="Arial" w:cs="Arial" w:eastAsia="Arial" w:hAnsi="Arial"/>
          <w:color w:val="1B2233"/>
          <w:sz w:val="21"/>
          <w:szCs w:val="21"/>
        </w:rPr>
        <w:t xml:space="preserve">NIST 800-53 Rev 5 defines well over a thousand controls. In most programs, evidence is gathered by hand, pasted into spreadsheets, and assembled the week before an assessment. The result is a point-in-time snapshot that is stale the moment it is printed.</w:t>
      </w:r>
    </w:p>
    <w:p>
      <w:pPr>
        <w:pStyle w:val="Heading2"/>
        <w:spacing w:after="100" w:before="220"/>
      </w:pPr>
      <w:r>
        <w:rPr>
          <w:rFonts w:ascii="Arial" w:cs="Arial" w:eastAsia="Arial" w:hAnsi="Arial"/>
          <w:b/>
          <w:bCs/>
          <w:color w:val="6A4DF0"/>
          <w:sz w:val="23"/>
          <w:szCs w:val="23"/>
        </w:rPr>
        <w:t xml:space="preserve">Authorization is the bottleneck</w:t>
      </w:r>
    </w:p>
    <w:p>
      <w:pPr>
        <w:spacing w:after="140" w:line="276"/>
      </w:pPr>
      <w:r>
        <w:rPr>
          <w:rFonts w:ascii="Arial" w:cs="Arial" w:eastAsia="Arial" w:hAnsi="Arial"/>
          <w:color w:val="1B2233"/>
          <w:sz w:val="21"/>
          <w:szCs w:val="21"/>
        </w:rPr>
        <w:t xml:space="preserve">An Authority to Operate commonly takes six to eighteen months and a quarter-million dollars or more — and most of that effort is paperwork, not engineering. Every month of delay is a month the mission waits.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4DF0" w:sz="4"/>
              <w:left w:val="single" w:color="6A4DF0" w:sz="4"/>
              <w:bottom w:val="single" w:color="6A4DF0" w:sz="4"/>
              <w:right w:val="single" w:color="6A4DF0" w:sz="4"/>
            </w:tcBorders>
            <w:shd w:fill="F3F1FE" w:val="clear"/>
            <w:tcMar>
              <w:top w:type="dxa" w:w="130"/>
              <w:left w:type="dxa" w:w="180"/>
              <w:bottom w:type="dxa" w:w="130"/>
              <w:right w:type="dxa" w:w="180"/>
            </w:tcMar>
          </w:tcPr>
          <w:p>
            <w:pPr>
              <w:spacing w:after="60"/>
            </w:pPr>
            <w:r>
              <w:rPr>
                <w:rFonts w:ascii="Arial" w:cs="Arial" w:eastAsia="Arial" w:hAnsi="Arial"/>
                <w:b/>
                <w:bCs/>
                <w:caps/>
                <w:color w:val="6A4DF0"/>
                <w:sz w:val="19"/>
                <w:szCs w:val="19"/>
              </w:rPr>
              <w:t xml:space="preserve">The cost of the status quo</w:t>
            </w:r>
          </w:p>
          <w:p>
            <w:pPr>
              <w:spacing w:after="0" w:line="270"/>
            </w:pPr>
            <w:r>
              <w:rPr>
                <w:rFonts w:ascii="Arial" w:cs="Arial" w:eastAsia="Arial" w:hAnsi="Arial"/>
                <w:color w:val="1B2233"/>
                <w:sz w:val="21"/>
                <w:szCs w:val="21"/>
              </w:rPr>
              <w:t xml:space="preserve">6–18 months to an ATO · 1,000+ NIST 800-53 controls to evidence · $250K+ per authorization effort — most of it repeatable work a machine should do.</w:t>
            </w:r>
          </w:p>
        </w:tc>
      </w:tr>
    </w:tbl>
    <w:p>
      <w:pPr>
        <w:pStyle w:val="Heading1"/>
        <w:spacing w:after="140" w:before="320"/>
      </w:pPr>
      <w:r>
        <w:rPr>
          <w:rFonts w:ascii="Cambria" w:cs="Cambria" w:eastAsia="Cambria" w:hAnsi="Cambria"/>
          <w:b/>
          <w:bCs/>
          <w:color w:val="16203A"/>
          <w:sz w:val="30"/>
          <w:szCs w:val="30"/>
        </w:rPr>
        <w:t xml:space="preserve">2.  The Approach: A No-Console Control Plane</w:t>
      </w:r>
    </w:p>
    <w:p>
      <w:pPr>
        <w:spacing w:after="140" w:line="276"/>
      </w:pPr>
      <w:r>
        <w:rPr>
          <w:rFonts w:ascii="Arial" w:cs="Arial" w:eastAsia="Arial" w:hAnsi="Arial"/>
          <w:color w:val="1B2233"/>
          <w:sz w:val="21"/>
          <w:szCs w:val="21"/>
        </w:rPr>
        <w:t xml:space="preserve">TowerControls is a no-console control surface over AWS Control Tower, the Landing Zone Accelerator, and your live security posture. It does not replace the AWS services it governs — it reads from and drives them, presenting one operator-friendly mission control with AI in every view.</w:t>
      </w:r>
    </w:p>
    <w:p>
      <w:pPr>
        <w:spacing w:after="140" w:line="276"/>
      </w:pPr>
      <w:r>
        <w:rPr>
          <w:rFonts w:ascii="Arial" w:cs="Arial" w:eastAsia="Arial" w:hAnsi="Arial"/>
          <w:color w:val="1B2233"/>
          <w:sz w:val="21"/>
          <w:szCs w:val="21"/>
        </w:rPr>
        <w:t xml:space="preserve">The platform organizes the work of a regulated organization into four surfaces: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D5DAE5" w:sz="4"/>
              <w:left w:val="single" w:color="D5DAE5" w:sz="4"/>
              <w:bottom w:val="single" w:color="D5DAE5" w:sz="4"/>
              <w:right w:val="single" w:color="D5DAE5" w:sz="4"/>
            </w:tcBorders>
            <w:shd w:fill="16203A" w:val="clear"/>
            <w:tcMar>
              <w:top w:type="dxa" w:w="70"/>
              <w:left w:type="dxa" w:w="130"/>
              <w:bottom w:type="dxa" w:w="70"/>
              <w:right w:type="dxa" w:w="130"/>
            </w:tcMar>
            <w:vAlign w:val="center"/>
          </w:tcPr>
          <w:p>
            <w:pPr>
              <w:spacing w:after="0" w:line="252"/>
              <w:jc w:val="left"/>
            </w:pPr>
            <w:r>
              <w:rPr>
                <w:rFonts w:ascii="Arial" w:cs="Arial" w:eastAsia="Arial" w:hAnsi="Arial"/>
                <w:b/>
                <w:bCs/>
                <w:color w:val="FFFFFF"/>
                <w:sz w:val="19"/>
                <w:szCs w:val="19"/>
              </w:rPr>
              <w:t xml:space="preserve">Surface</w:t>
            </w:r>
          </w:p>
        </w:tc>
        <w:tc>
          <w:tcPr>
            <w:tcW w:type="dxa" w:w="6860"/>
            <w:tcBorders>
              <w:top w:val="single" w:color="D5DAE5" w:sz="4"/>
              <w:left w:val="single" w:color="D5DAE5" w:sz="4"/>
              <w:bottom w:val="single" w:color="D5DAE5" w:sz="4"/>
              <w:right w:val="single" w:color="D5DAE5" w:sz="4"/>
            </w:tcBorders>
            <w:shd w:fill="16203A" w:val="clear"/>
            <w:tcMar>
              <w:top w:type="dxa" w:w="70"/>
              <w:left w:type="dxa" w:w="130"/>
              <w:bottom w:type="dxa" w:w="70"/>
              <w:right w:type="dxa" w:w="130"/>
            </w:tcMar>
            <w:vAlign w:val="center"/>
          </w:tcPr>
          <w:p>
            <w:pPr>
              <w:spacing w:after="0" w:line="252"/>
              <w:jc w:val="left"/>
            </w:pPr>
            <w:r>
              <w:rPr>
                <w:rFonts w:ascii="Arial" w:cs="Arial" w:eastAsia="Arial" w:hAnsi="Arial"/>
                <w:b/>
                <w:bCs/>
                <w:color w:val="FFFFFF"/>
                <w:sz w:val="19"/>
                <w:szCs w:val="19"/>
              </w:rPr>
              <w:t xml:space="preserve">What it does</w:t>
            </w:r>
          </w:p>
        </w:tc>
      </w:tr>
      <w:tr>
        <w:tc>
          <w:tcPr>
            <w:tcW w:type="dxa" w:w="250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Landing Zone</w:t>
            </w:r>
          </w:p>
        </w:tc>
        <w:tc>
          <w:tcPr>
            <w:tcW w:type="dxa" w:w="686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Stand up Control Tower and the Landing Zone Accelerator, operate the account fleet, and decommission — without the console. Migration lives in its own group, so moving accounts organization-to-organization stays one click away as the navigation grows.</w:t>
            </w:r>
          </w:p>
        </w:tc>
      </w:tr>
      <w:tr>
        <w:tc>
          <w:tcPr>
            <w:tcW w:type="dxa" w:w="250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Security &amp; Governance</w:t>
            </w:r>
          </w:p>
        </w:tc>
        <w:tc>
          <w:tcPr>
            <w:tcW w:type="dxa" w:w="686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Live NIST 800-53 / FedRAMP posture from Security Hub, AI remediation with a blast-radius safety rating, alerting, exposure analysis, guardrails, and POA&amp;M tracking.</w:t>
            </w:r>
          </w:p>
        </w:tc>
      </w:tr>
      <w:tr>
        <w:tc>
          <w:tcPr>
            <w:tcW w:type="dxa" w:w="250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Org Map &amp; Live Wall</w:t>
            </w:r>
          </w:p>
        </w:tc>
        <w:tc>
          <w:tcPr>
            <w:tcW w:type="dxa" w:w="686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Every account graded for posture in a live constellation, plus a full-screen operations-center view with AI drill-down to the individual resource.</w:t>
            </w:r>
          </w:p>
        </w:tc>
      </w:tr>
      <w:tr>
        <w:tc>
          <w:tcPr>
            <w:tcW w:type="dxa" w:w="250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Reports &amp; ATO</w:t>
            </w:r>
          </w:p>
        </w:tc>
        <w:tc>
          <w:tcPr>
            <w:tcW w:type="dxa" w:w="686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OSCAL System Security Plan, assessment results, and POA&amp;M; branded PDFs; FedRAMP 20x readiness — the authorization package, generated from live state.</w:t>
            </w:r>
          </w:p>
        </w:tc>
      </w:tr>
    </w:tbl>
    <w:p>
      <w:pPr>
        <w:pStyle w:val="Heading1"/>
        <w:spacing w:after="140" w:before="320"/>
      </w:pPr>
      <w:r>
        <w:rPr>
          <w:rFonts w:ascii="Cambria" w:cs="Cambria" w:eastAsia="Cambria" w:hAnsi="Cambria"/>
          <w:b/>
          <w:bCs/>
          <w:color w:val="16203A"/>
          <w:sz w:val="30"/>
          <w:szCs w:val="30"/>
        </w:rPr>
        <w:t xml:space="preserve">3.  Platform Architecture</w:t>
      </w:r>
    </w:p>
    <w:p>
      <w:pPr>
        <w:spacing w:after="140" w:line="276"/>
      </w:pPr>
      <w:r>
        <w:rPr>
          <w:rFonts w:ascii="Arial" w:cs="Arial" w:eastAsia="Arial" w:hAnsi="Arial"/>
          <w:color w:val="1B2233"/>
          <w:sz w:val="21"/>
          <w:szCs w:val="21"/>
        </w:rPr>
        <w:t xml:space="preserve">TowerControls is deployed as a serverless application inside the customer's own AWS account: a CloudFront distribution and static front end, an HTTP API backed by AWS Lambda, Amazon Cognito for authentication, and DynamoDB for state. It holds no customer data outside the customer's account and changes no resource it has not been explicitly asked to change.</w:t>
      </w:r>
    </w:p>
    <w:p>
      <w:pPr>
        <w:pStyle w:val="Heading2"/>
        <w:spacing w:after="100" w:before="220"/>
      </w:pPr>
      <w:r>
        <w:rPr>
          <w:rFonts w:ascii="Arial" w:cs="Arial" w:eastAsia="Arial" w:hAnsi="Arial"/>
          <w:b/>
          <w:bCs/>
          <w:color w:val="6A4DF0"/>
          <w:sz w:val="23"/>
          <w:szCs w:val="23"/>
        </w:rPr>
        <w:t xml:space="preserve">Read-live, write-gated</w:t>
      </w:r>
    </w:p>
    <w:p>
      <w:pPr>
        <w:spacing w:after="140" w:line="276"/>
      </w:pPr>
      <w:r>
        <w:rPr>
          <w:rFonts w:ascii="Arial" w:cs="Arial" w:eastAsia="Arial" w:hAnsi="Arial"/>
          <w:color w:val="1B2233"/>
          <w:sz w:val="21"/>
          <w:szCs w:val="21"/>
        </w:rPr>
        <w:t xml:space="preserve">Read paths query AWS directly — Organizations, Control Tower, Security Hub, Config, CloudTrail, Inspector, and GuardDuty — so every view reflects the organization as it is right now, not a cached report. Write paths (creating accounts, launching a landing zone, applying a remediation) are gated behind explicit confirmation and run under least-privilege, isolated roles, with idempotency and retries so a partial failure is safe to re-run.</w:t>
      </w:r>
    </w:p>
    <w:p>
      <w:pPr>
        <w:pStyle w:val="Heading2"/>
        <w:spacing w:after="100" w:before="220"/>
      </w:pPr>
      <w:r>
        <w:rPr>
          <w:rFonts w:ascii="Arial" w:cs="Arial" w:eastAsia="Arial" w:hAnsi="Arial"/>
          <w:b/>
          <w:bCs/>
          <w:color w:val="6A4DF0"/>
          <w:sz w:val="23"/>
          <w:szCs w:val="23"/>
        </w:rPr>
        <w:t xml:space="preserve">Single-tenant and install-anywhere</w:t>
      </w:r>
    </w:p>
    <w:p>
      <w:pPr>
        <w:spacing w:after="140" w:line="276"/>
      </w:pPr>
      <w:r>
        <w:rPr>
          <w:rFonts w:ascii="Arial" w:cs="Arial" w:eastAsia="Arial" w:hAnsi="Arial"/>
          <w:color w:val="1B2233"/>
          <w:sz w:val="21"/>
          <w:szCs w:val="21"/>
        </w:rPr>
        <w:t xml:space="preserve">Each customer runs their own instance. There is no shared multi-tenant data plane and no transfer of long-lived credentials to a vendor. The same build deploys into a commercial account, a GovCloud account, or an isolated enclave.</w:t>
      </w:r>
    </w:p>
    <w:p>
      <w:pPr>
        <w:pStyle w:val="Heading1"/>
        <w:spacing w:after="140" w:before="320"/>
      </w:pPr>
      <w:r>
        <w:rPr>
          <w:rFonts w:ascii="Cambria" w:cs="Cambria" w:eastAsia="Cambria" w:hAnsi="Cambria"/>
          <w:b/>
          <w:bCs/>
          <w:color w:val="16203A"/>
          <w:sz w:val="30"/>
          <w:szCs w:val="30"/>
        </w:rPr>
        <w:t xml:space="preserve">4.  AI, Woven Through</w:t>
      </w:r>
    </w:p>
    <w:p>
      <w:pPr>
        <w:spacing w:after="140" w:line="276"/>
      </w:pPr>
      <w:r>
        <w:rPr>
          <w:rFonts w:ascii="Arial" w:cs="Arial" w:eastAsia="Arial" w:hAnsi="Arial"/>
          <w:color w:val="1B2233"/>
          <w:sz w:val="21"/>
          <w:szCs w:val="21"/>
        </w:rPr>
        <w:t xml:space="preserve">AI is not a bolt-on chat box; it is embedded where the work happens.</w:t>
      </w:r>
    </w:p>
    <w:p>
      <w:pPr>
        <w:pStyle w:val="Heading2"/>
        <w:spacing w:after="100" w:before="220"/>
      </w:pPr>
      <w:r>
        <w:rPr>
          <w:rFonts w:ascii="Arial" w:cs="Arial" w:eastAsia="Arial" w:hAnsi="Arial"/>
          <w:b/>
          <w:bCs/>
          <w:color w:val="6A4DF0"/>
          <w:sz w:val="23"/>
          <w:szCs w:val="23"/>
        </w:rPr>
        <w:t xml:space="preserve">The embedded assistant</w:t>
      </w:r>
    </w:p>
    <w:p>
      <w:pPr>
        <w:spacing w:after="140" w:line="276"/>
      </w:pPr>
      <w:r>
        <w:rPr>
          <w:rFonts w:ascii="Arial" w:cs="Arial" w:eastAsia="Arial" w:hAnsi="Arial"/>
          <w:color w:val="1B2233"/>
          <w:sz w:val="21"/>
          <w:szCs w:val="21"/>
        </w:rPr>
        <w:t xml:space="preserve">A collapsible AI assistant, powered by Claude Sonnet, rides along on every screen. Scoped to the operator’s own AWS account and strictly read-only, it does three things: explains how the product works, guides the operator through the task in front of them, and consults on their security and compliance findings. Ask what a NIST 800-53 control failure, an alert, an exposure or CVE, or a configuration drift actually means, and it answers in plain language and lays out exactly how to remediate it — grounded in the account’s live state, not generic advice. Because it is inform-only, it never changes a resource; it makes the operator faster without ever acting on their behalf.</w:t>
      </w:r>
    </w:p>
    <w:p>
      <w:pPr>
        <w:pStyle w:val="ListParagraph"/>
        <w:numPr>
          <w:ilvl w:val="0"/>
          <w:numId w:val="2"/>
        </w:numPr>
        <w:spacing w:after="80" w:line="270"/>
      </w:pPr>
      <w:r>
        <w:rPr>
          <w:rFonts w:ascii="Arial" w:cs="Arial" w:eastAsia="Arial" w:hAnsi="Arial"/>
          <w:b/>
          <w:bCs/>
          <w:color w:val="1B2233"/>
          <w:sz w:val="21"/>
          <w:szCs w:val="21"/>
        </w:rPr>
        <w:t xml:space="preserve">Compliance scorecard</w:t>
      </w:r>
      <w:r>
        <w:rPr>
          <w:rFonts w:ascii="Arial" w:cs="Arial" w:eastAsia="Arial" w:hAnsi="Arial"/>
          <w:color w:val="1B2233"/>
          <w:sz w:val="21"/>
          <w:szCs w:val="21"/>
        </w:rPr>
        <w:t xml:space="preserve">  grades FedRAMP readiness with the Low / Moderate / High breakdown and ranks the gaps to fix first.</w:t>
      </w:r>
    </w:p>
    <w:p>
      <w:pPr>
        <w:pStyle w:val="ListParagraph"/>
        <w:numPr>
          <w:ilvl w:val="0"/>
          <w:numId w:val="2"/>
        </w:numPr>
        <w:spacing w:after="80" w:line="270"/>
      </w:pPr>
      <w:r>
        <w:rPr>
          <w:rFonts w:ascii="Arial" w:cs="Arial" w:eastAsia="Arial" w:hAnsi="Arial"/>
          <w:b/>
          <w:bCs/>
          <w:color w:val="1B2233"/>
          <w:sz w:val="21"/>
          <w:szCs w:val="21"/>
        </w:rPr>
        <w:t xml:space="preserve">Remediation &amp; triage</w:t>
      </w:r>
      <w:r>
        <w:rPr>
          <w:rFonts w:ascii="Arial" w:cs="Arial" w:eastAsia="Arial" w:hAnsi="Arial"/>
          <w:color w:val="1B2233"/>
          <w:sz w:val="21"/>
          <w:szCs w:val="21"/>
        </w:rPr>
        <w:t xml:space="preserve">  turns each failing control into a safe, specific fix carrying a blast-radius safety rating, and triages each high-risk event with the exact response.</w:t>
      </w:r>
    </w:p>
    <w:p>
      <w:pPr>
        <w:pStyle w:val="ListParagraph"/>
        <w:numPr>
          <w:ilvl w:val="0"/>
          <w:numId w:val="2"/>
        </w:numPr>
        <w:spacing w:after="80" w:line="270"/>
      </w:pPr>
      <w:r>
        <w:rPr>
          <w:rFonts w:ascii="Arial" w:cs="Arial" w:eastAsia="Arial" w:hAnsi="Arial"/>
          <w:b/>
          <w:bCs/>
          <w:color w:val="1B2233"/>
          <w:sz w:val="21"/>
          <w:szCs w:val="21"/>
        </w:rPr>
        <w:t xml:space="preserve">Findings consultant</w:t>
      </w:r>
      <w:r>
        <w:rPr>
          <w:rFonts w:ascii="Arial" w:cs="Arial" w:eastAsia="Arial" w:hAnsi="Arial"/>
          <w:color w:val="1B2233"/>
          <w:sz w:val="21"/>
          <w:szCs w:val="21"/>
        </w:rPr>
        <w:t xml:space="preserve">  sits beside every control failure, alert, exposure, and drift, explaining what it means and the exact steps to remediate it — on demand, from the same screen.</w:t>
      </w:r>
    </w:p>
    <w:p>
      <w:pPr>
        <w:pStyle w:val="ListParagraph"/>
        <w:numPr>
          <w:ilvl w:val="0"/>
          <w:numId w:val="2"/>
        </w:numPr>
        <w:spacing w:after="80" w:line="270"/>
      </w:pPr>
      <w:r>
        <w:rPr>
          <w:rFonts w:ascii="Arial" w:cs="Arial" w:eastAsia="Arial" w:hAnsi="Arial"/>
          <w:b/>
          <w:bCs/>
          <w:color w:val="1B2233"/>
          <w:sz w:val="21"/>
          <w:szCs w:val="21"/>
        </w:rPr>
        <w:t xml:space="preserve">Policy &amp; document drafting</w:t>
      </w:r>
      <w:r>
        <w:rPr>
          <w:rFonts w:ascii="Arial" w:cs="Arial" w:eastAsia="Arial" w:hAnsi="Arial"/>
          <w:color w:val="1B2233"/>
          <w:sz w:val="21"/>
          <w:szCs w:val="21"/>
        </w:rPr>
        <w:t xml:space="preserve">  drafts NIST 800-53 governance documents and the assessor-ready authorization package, grounded in live evidence rather than boilerplate.</w:t>
      </w:r>
    </w:p>
    <w:p>
      <w:pPr>
        <w:spacing w:after="140" w:line="276"/>
      </w:pPr>
      <w:r>
        <w:rPr>
          <w:rFonts w:ascii="Arial" w:cs="Arial" w:eastAsia="Arial" w:hAnsi="Arial"/>
          <w:color w:val="1B2233"/>
          <w:sz w:val="21"/>
          <w:szCs w:val="21"/>
        </w:rPr>
        <w:t xml:space="preserve">A hard guardrail separates analysis from authority: the in-app assistant can explain, draft, and recommend, but it cannot mark a control as satisfied or file evidence on its own — those remain explicit, human-approved actions.</w:t>
      </w:r>
    </w:p>
    <w:p>
      <w:pPr>
        <w:pStyle w:val="Heading1"/>
        <w:spacing w:after="140" w:before="320"/>
      </w:pPr>
      <w:r>
        <w:rPr>
          <w:rFonts w:ascii="Cambria" w:cs="Cambria" w:eastAsia="Cambria" w:hAnsi="Cambria"/>
          <w:b/>
          <w:bCs/>
          <w:color w:val="16203A"/>
          <w:sz w:val="30"/>
          <w:szCs w:val="30"/>
        </w:rPr>
        <w:t xml:space="preserve">5.  The Compliance &amp; Security Model</w:t>
      </w:r>
    </w:p>
    <w:p>
      <w:pPr>
        <w:spacing w:after="140" w:line="276"/>
      </w:pPr>
      <w:r>
        <w:rPr>
          <w:rFonts w:ascii="Arial" w:cs="Arial" w:eastAsia="Arial" w:hAnsi="Arial"/>
          <w:color w:val="1B2233"/>
          <w:sz w:val="21"/>
          <w:szCs w:val="21"/>
        </w:rPr>
        <w:t xml:space="preserve">TowerControls treats authorization as a continuous program, not an annual scramble.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5DAE5" w:sz="4"/>
              <w:left w:val="single" w:color="D5DAE5" w:sz="4"/>
              <w:bottom w:val="single" w:color="D5DAE5" w:sz="4"/>
              <w:right w:val="single" w:color="D5DAE5" w:sz="4"/>
            </w:tcBorders>
            <w:shd w:fill="16203A" w:val="clear"/>
            <w:tcMar>
              <w:top w:type="dxa" w:w="70"/>
              <w:left w:type="dxa" w:w="130"/>
              <w:bottom w:type="dxa" w:w="70"/>
              <w:right w:type="dxa" w:w="130"/>
            </w:tcMar>
            <w:vAlign w:val="center"/>
          </w:tcPr>
          <w:p>
            <w:pPr>
              <w:spacing w:after="0" w:line="252"/>
              <w:jc w:val="left"/>
            </w:pPr>
            <w:r>
              <w:rPr>
                <w:rFonts w:ascii="Arial" w:cs="Arial" w:eastAsia="Arial" w:hAnsi="Arial"/>
                <w:b/>
                <w:bCs/>
                <w:color w:val="FFFFFF"/>
                <w:sz w:val="19"/>
                <w:szCs w:val="19"/>
              </w:rPr>
              <w:t xml:space="preserve">Capability</w:t>
            </w:r>
          </w:p>
        </w:tc>
        <w:tc>
          <w:tcPr>
            <w:tcW w:type="dxa" w:w="6360"/>
            <w:tcBorders>
              <w:top w:val="single" w:color="D5DAE5" w:sz="4"/>
              <w:left w:val="single" w:color="D5DAE5" w:sz="4"/>
              <w:bottom w:val="single" w:color="D5DAE5" w:sz="4"/>
              <w:right w:val="single" w:color="D5DAE5" w:sz="4"/>
            </w:tcBorders>
            <w:shd w:fill="16203A" w:val="clear"/>
            <w:tcMar>
              <w:top w:type="dxa" w:w="70"/>
              <w:left w:type="dxa" w:w="130"/>
              <w:bottom w:type="dxa" w:w="70"/>
              <w:right w:type="dxa" w:w="130"/>
            </w:tcMar>
            <w:vAlign w:val="center"/>
          </w:tcPr>
          <w:p>
            <w:pPr>
              <w:spacing w:after="0" w:line="252"/>
              <w:jc w:val="left"/>
            </w:pPr>
            <w:r>
              <w:rPr>
                <w:rFonts w:ascii="Arial" w:cs="Arial" w:eastAsia="Arial" w:hAnsi="Arial"/>
                <w:b/>
                <w:bCs/>
                <w:color w:val="FFFFFF"/>
                <w:sz w:val="19"/>
                <w:szCs w:val="19"/>
              </w:rPr>
              <w:t xml:space="preserve">How TowerControls delivers it</w:t>
            </w:r>
          </w:p>
        </w:tc>
      </w:tr>
      <w:tr>
        <w:tc>
          <w:tcPr>
            <w:tcW w:type="dxa" w:w="300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NIST 800-53 Rev 5</w:t>
            </w:r>
          </w:p>
        </w:tc>
        <w:tc>
          <w:tcPr>
            <w:tcW w:type="dxa" w:w="636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A live control library mapped to Security Hub findings, Config rules, and inherited AWS controls, with per-control coverage and provenance.</w:t>
            </w:r>
          </w:p>
        </w:tc>
      </w:tr>
      <w:tr>
        <w:tc>
          <w:tcPr>
            <w:tcW w:type="dxa" w:w="300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FedRAMP 20x</w:t>
            </w:r>
          </w:p>
        </w:tc>
        <w:tc>
          <w:tcPr>
            <w:tcW w:type="dxa" w:w="636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Machine-readable Key Security Indicators and continuously-validated evidence, aligned to the automation-first authorization model.</w:t>
            </w:r>
          </w:p>
        </w:tc>
      </w:tr>
      <w:tr>
        <w:tc>
          <w:tcPr>
            <w:tcW w:type="dxa" w:w="300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OSCAL</w:t>
            </w:r>
          </w:p>
        </w:tc>
        <w:tc>
          <w:tcPr>
            <w:tcW w:type="dxa" w:w="636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System Security Plan, Assessment Results, and POA&amp;M exported as schema-valid OSCAL, validated against the official NIST schema.</w:t>
            </w:r>
          </w:p>
        </w:tc>
      </w:tr>
      <w:tr>
        <w:tc>
          <w:tcPr>
            <w:tcW w:type="dxa" w:w="300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Frameworks crosswalk</w:t>
            </w:r>
          </w:p>
        </w:tc>
        <w:tc>
          <w:tcPr>
            <w:tcW w:type="dxa" w:w="6360"/>
            <w:tcBorders>
              <w:top w:val="single" w:color="D5DAE5" w:sz="4"/>
              <w:left w:val="single" w:color="D5DAE5" w:sz="4"/>
              <w:bottom w:val="single" w:color="D5DAE5" w:sz="4"/>
              <w:right w:val="single" w:color="D5DAE5" w:sz="4"/>
            </w:tcBorders>
            <w:shd w:fill="F3F1FE"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HIPAA, PCI, SOC 2, and others derived as a lens over the NIST 800-53 baseline — one evidence set, many frameworks.</w:t>
            </w:r>
          </w:p>
        </w:tc>
      </w:tr>
      <w:tr>
        <w:tc>
          <w:tcPr>
            <w:tcW w:type="dxa" w:w="300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bCs/>
                <w:color w:val="1B2233"/>
                <w:sz w:val="19"/>
                <w:szCs w:val="19"/>
              </w:rPr>
              <w:t xml:space="preserve">Least privilege</w:t>
            </w:r>
          </w:p>
        </w:tc>
        <w:tc>
          <w:tcPr>
            <w:tcW w:type="dxa" w:w="6360"/>
            <w:tcBorders>
              <w:top w:val="single" w:color="D5DAE5" w:sz="4"/>
              <w:left w:val="single" w:color="D5DAE5" w:sz="4"/>
              <w:bottom w:val="single" w:color="D5DAE5" w:sz="4"/>
              <w:right w:val="single" w:color="D5DAE5" w:sz="4"/>
            </w:tcBorders>
            <w:shd w:fill="FFFFFF" w:val="clear"/>
            <w:tcMar>
              <w:top w:type="dxa" w:w="70"/>
              <w:left w:type="dxa" w:w="130"/>
              <w:bottom w:type="dxa" w:w="70"/>
              <w:right w:type="dxa" w:w="130"/>
            </w:tcMar>
            <w:vAlign w:val="center"/>
          </w:tcPr>
          <w:p>
            <w:pPr>
              <w:spacing w:after="0" w:line="252"/>
              <w:jc w:val="left"/>
            </w:pPr>
            <w:r>
              <w:rPr>
                <w:rFonts w:ascii="Arial" w:cs="Arial" w:eastAsia="Arial" w:hAnsi="Arial"/>
                <w:b w:val="false"/>
                <w:bCs w:val="false"/>
                <w:color w:val="1B2233"/>
                <w:sz w:val="19"/>
                <w:szCs w:val="19"/>
              </w:rPr>
              <w:t xml:space="preserve">Destructive operations run under isolated, narrowly-scoped roles, gated behind explicit confirmation.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4DF0" w:sz="4"/>
              <w:left w:val="single" w:color="6A4DF0" w:sz="4"/>
              <w:bottom w:val="single" w:color="6A4DF0" w:sz="4"/>
              <w:right w:val="single" w:color="6A4DF0" w:sz="4"/>
            </w:tcBorders>
            <w:shd w:fill="F3F1FE" w:val="clear"/>
            <w:tcMar>
              <w:top w:type="dxa" w:w="130"/>
              <w:left w:type="dxa" w:w="180"/>
              <w:bottom w:type="dxa" w:w="130"/>
              <w:right w:type="dxa" w:w="180"/>
            </w:tcMar>
          </w:tcPr>
          <w:p>
            <w:pPr>
              <w:spacing w:after="60"/>
            </w:pPr>
            <w:r>
              <w:rPr>
                <w:rFonts w:ascii="Arial" w:cs="Arial" w:eastAsia="Arial" w:hAnsi="Arial"/>
                <w:b/>
                <w:bCs/>
                <w:caps/>
                <w:color w:val="6A4DF0"/>
                <w:sz w:val="19"/>
                <w:szCs w:val="19"/>
              </w:rPr>
              <w:t xml:space="preserve">Continuous authorization</w:t>
            </w:r>
          </w:p>
          <w:p>
            <w:pPr>
              <w:spacing w:after="0" w:line="270"/>
            </w:pPr>
            <w:r>
              <w:rPr>
                <w:rFonts w:ascii="Arial" w:cs="Arial" w:eastAsia="Arial" w:hAnsi="Arial"/>
                <w:color w:val="1B2233"/>
                <w:sz w:val="21"/>
                <w:szCs w:val="21"/>
              </w:rPr>
              <w:t xml:space="preserve">Because posture is read live and evidence is generated from current state, the authorizing official lives inside the system — not at the end of a quarterly document cycle.</w:t>
            </w:r>
          </w:p>
        </w:tc>
      </w:tr>
    </w:tbl>
    <w:p>
      <w:pPr>
        <w:pStyle w:val="Heading1"/>
        <w:spacing w:after="140" w:before="320"/>
      </w:pPr>
      <w:r>
        <w:rPr>
          <w:rFonts w:ascii="Cambria" w:cs="Cambria" w:eastAsia="Cambria" w:hAnsi="Cambria"/>
          <w:b/>
          <w:bCs/>
          <w:color w:val="16203A"/>
          <w:sz w:val="30"/>
          <w:szCs w:val="30"/>
        </w:rPr>
        <w:t xml:space="preserve">6.  Day-0 Install and Onboarding</w:t>
      </w:r>
    </w:p>
    <w:p>
      <w:pPr>
        <w:spacing w:after="140" w:line="276"/>
      </w:pPr>
      <w:r>
        <w:rPr>
          <w:rFonts w:ascii="Arial" w:cs="Arial" w:eastAsia="Arial" w:hAnsi="Arial"/>
          <w:color w:val="1B2233"/>
          <w:sz w:val="21"/>
          <w:szCs w:val="21"/>
        </w:rPr>
        <w:t xml:space="preserve">The hardest day in a regulated cloud program is the first one. TowerControls compresses it into a single automated sequence, delivered as a CloudFormation installer that orchestrates the entire chain with AWS Step Functions — waiting out the long provisioning windows with no operator babysitting the console.</w:t>
      </w:r>
    </w:p>
    <w:p>
      <w:pPr>
        <w:spacing w:after="140" w:line="276"/>
      </w:pPr>
      <w:r>
        <w:rPr>
          <w:rFonts w:ascii="Arial" w:cs="Arial" w:eastAsia="Arial" w:hAnsi="Arial"/>
          <w:color w:val="1B2233"/>
          <w:sz w:val="21"/>
          <w:szCs w:val="21"/>
        </w:rPr>
        <w:t xml:space="preserve">The installer runs, end-to-end, on a brand-new account:</w:t>
      </w:r>
    </w:p>
    <w:p>
      <w:pPr>
        <w:pStyle w:val="ListParagraph"/>
        <w:numPr>
          <w:ilvl w:val="0"/>
          <w:numId w:val="2"/>
        </w:numPr>
        <w:spacing w:after="80" w:line="270"/>
      </w:pPr>
      <w:r>
        <w:rPr>
          <w:rFonts w:ascii="Arial" w:cs="Arial" w:eastAsia="Arial" w:hAnsi="Arial"/>
          <w:color w:val="1B2233"/>
          <w:sz w:val="21"/>
          <w:szCs w:val="21"/>
        </w:rPr>
        <w:t xml:space="preserve">create the AWS organization with all features enabled</w:t>
      </w:r>
    </w:p>
    <w:p>
      <w:pPr>
        <w:pStyle w:val="ListParagraph"/>
        <w:numPr>
          <w:ilvl w:val="0"/>
          <w:numId w:val="2"/>
        </w:numPr>
        <w:spacing w:after="80" w:line="270"/>
      </w:pPr>
      <w:r>
        <w:rPr>
          <w:rFonts w:ascii="Arial" w:cs="Arial" w:eastAsia="Arial" w:hAnsi="Arial"/>
          <w:color w:val="1B2233"/>
          <w:sz w:val="21"/>
          <w:szCs w:val="21"/>
        </w:rPr>
        <w:t xml:space="preserve">provision the Control Tower service roles</w:t>
      </w:r>
    </w:p>
    <w:p>
      <w:pPr>
        <w:pStyle w:val="ListParagraph"/>
        <w:numPr>
          <w:ilvl w:val="0"/>
          <w:numId w:val="2"/>
        </w:numPr>
        <w:spacing w:after="80" w:line="270"/>
      </w:pPr>
      <w:r>
        <w:rPr>
          <w:rFonts w:ascii="Arial" w:cs="Arial" w:eastAsia="Arial" w:hAnsi="Arial"/>
          <w:color w:val="1B2233"/>
          <w:sz w:val="21"/>
          <w:szCs w:val="21"/>
        </w:rPr>
        <w:t xml:space="preserve">create the Log Archive and Audit shared accounts</w:t>
      </w:r>
    </w:p>
    <w:p>
      <w:pPr>
        <w:pStyle w:val="ListParagraph"/>
        <w:numPr>
          <w:ilvl w:val="0"/>
          <w:numId w:val="2"/>
        </w:numPr>
        <w:spacing w:after="80" w:line="270"/>
      </w:pPr>
      <w:r>
        <w:rPr>
          <w:rFonts w:ascii="Arial" w:cs="Arial" w:eastAsia="Arial" w:hAnsi="Arial"/>
          <w:color w:val="1B2233"/>
          <w:sz w:val="21"/>
          <w:szCs w:val="21"/>
        </w:rPr>
        <w:t xml:space="preserve">stand up the Control Tower landing zone</w:t>
      </w:r>
    </w:p>
    <w:p>
      <w:pPr>
        <w:pStyle w:val="ListParagraph"/>
        <w:numPr>
          <w:ilvl w:val="0"/>
          <w:numId w:val="2"/>
        </w:numPr>
        <w:spacing w:after="80" w:line="270"/>
      </w:pPr>
      <w:r>
        <w:rPr>
          <w:rFonts w:ascii="Arial" w:cs="Arial" w:eastAsia="Arial" w:hAnsi="Arial"/>
          <w:color w:val="1B2233"/>
          <w:sz w:val="21"/>
          <w:szCs w:val="21"/>
        </w:rPr>
        <w:t xml:space="preserve">deploy the Landing Zone Accelerator pipeline</w:t>
      </w:r>
    </w:p>
    <w:p>
      <w:pPr>
        <w:pStyle w:val="ListParagraph"/>
        <w:numPr>
          <w:ilvl w:val="0"/>
          <w:numId w:val="2"/>
        </w:numPr>
        <w:spacing w:after="80" w:line="270"/>
      </w:pPr>
      <w:r>
        <w:rPr>
          <w:rFonts w:ascii="Arial" w:cs="Arial" w:eastAsia="Arial" w:hAnsi="Arial"/>
          <w:color w:val="1B2233"/>
          <w:sz w:val="21"/>
          <w:szCs w:val="21"/>
        </w:rPr>
        <w:t xml:space="preserve">email a success report when the organization is live</w:t>
      </w:r>
    </w:p>
    <w:p>
      <w:pPr>
        <w:pStyle w:val="ListParagraph"/>
        <w:numPr>
          <w:ilvl w:val="0"/>
          <w:numId w:val="2"/>
        </w:numPr>
        <w:spacing w:after="80" w:line="270"/>
      </w:pPr>
      <w:r>
        <w:rPr>
          <w:rFonts w:ascii="Arial" w:cs="Arial" w:eastAsia="Arial" w:hAnsi="Arial"/>
          <w:color w:val="1B2233"/>
          <w:sz w:val="21"/>
          <w:szCs w:val="21"/>
        </w:rPr>
        <w:t xml:space="preserve">seed the AWS-recommended IAM Identity Center permission sets — AdministratorAccess, PowerUserAccess, ViewOnlyAccess, Billing, and SecurityAudit — so least-privilege roles exist to grant from on day one</w:t>
      </w:r>
    </w:p>
    <w:p>
      <w:pPr>
        <w:spacing w:after="140" w:line="276"/>
      </w:pPr>
      <w:r>
        <w:rPr>
          <w:rFonts w:ascii="Arial" w:cs="Arial" w:eastAsia="Arial" w:hAnsi="Arial"/>
          <w:color w:val="1B2233"/>
          <w:sz w:val="21"/>
          <w:szCs w:val="21"/>
        </w:rPr>
        <w:t xml:space="preserve">Each step is idempotent and safe to re-run, and the gotchas that make Day-0 painful by hand — missing organization, account IDs the landing-zone manifest requires, long provisioning that outlives a function timeout — are handled by the orchestrator rather than the operator. The same approach extends to remote onboarding, where a customer launches the stack into their own account and the installer reports back when the environment is ready.</w:t>
      </w:r>
    </w:p>
    <w:p>
      <w:pPr>
        <w:spacing w:after="140" w:line="276"/>
      </w:pPr>
      <w:r>
        <w:rPr>
          <w:rFonts w:ascii="Arial" w:cs="Arial" w:eastAsia="Arial" w:hAnsi="Arial"/>
          <w:color w:val="1B2233"/>
          <w:sz w:val="21"/>
          <w:szCs w:val="21"/>
        </w:rPr>
        <w:t xml:space="preserve">The first-run setup wizard also captures the program’s ticketing details — Jira host, project key, and an optional API token — so two-way POA&amp;M synchronization is wired before the operator ever logs in. Credentials are held in AWS Secrets Manager, never in the application’s state, keeping the integration ready and the secret out of reach.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A4DF0" w:sz="4"/>
              <w:left w:val="single" w:color="6A4DF0" w:sz="4"/>
              <w:bottom w:val="single" w:color="6A4DF0" w:sz="4"/>
              <w:right w:val="single" w:color="6A4DF0" w:sz="4"/>
            </w:tcBorders>
            <w:shd w:fill="F3F1FE" w:val="clear"/>
            <w:tcMar>
              <w:top w:type="dxa" w:w="130"/>
              <w:left w:type="dxa" w:w="180"/>
              <w:bottom w:type="dxa" w:w="130"/>
              <w:right w:type="dxa" w:w="180"/>
            </w:tcMar>
          </w:tcPr>
          <w:p>
            <w:pPr>
              <w:spacing w:after="60"/>
            </w:pPr>
            <w:r>
              <w:rPr>
                <w:rFonts w:ascii="Arial" w:cs="Arial" w:eastAsia="Arial" w:hAnsi="Arial"/>
                <w:b/>
                <w:bCs/>
                <w:caps/>
                <w:color w:val="6A4DF0"/>
                <w:sz w:val="19"/>
                <w:szCs w:val="19"/>
              </w:rPr>
              <w:t xml:space="preserve">Proven</w:t>
            </w:r>
          </w:p>
          <w:p>
            <w:pPr>
              <w:spacing w:after="0" w:line="270"/>
            </w:pPr>
            <w:r>
              <w:rPr>
                <w:rFonts w:ascii="Arial" w:cs="Arial" w:eastAsia="Arial" w:hAnsi="Arial"/>
                <w:color w:val="1B2233"/>
                <w:sz w:val="21"/>
                <w:szCs w:val="21"/>
              </w:rPr>
              <w:t xml:space="preserve">The full chain — organization, Control Tower, and the Landing Zone Accelerator — has been stood up end-to-end on a brand-new AWS account, driven by the product itself. One command to Day-0; zero consoles touched.</w:t>
            </w:r>
          </w:p>
        </w:tc>
      </w:tr>
    </w:tbl>
    <w:p>
      <w:pPr>
        <w:pStyle w:val="Heading1"/>
        <w:spacing w:after="140" w:before="320"/>
      </w:pPr>
      <w:r>
        <w:rPr>
          <w:rFonts w:ascii="Cambria" w:cs="Cambria" w:eastAsia="Cambria" w:hAnsi="Cambria"/>
          <w:b/>
          <w:bCs/>
          <w:color w:val="16203A"/>
          <w:sz w:val="30"/>
          <w:szCs w:val="30"/>
        </w:rPr>
        <w:t xml:space="preserve">7.  Why Now</w:t>
      </w:r>
    </w:p>
    <w:p>
      <w:pPr>
        <w:spacing w:after="140" w:line="276"/>
      </w:pPr>
      <w:r>
        <w:rPr>
          <w:rFonts w:ascii="Arial" w:cs="Arial" w:eastAsia="Arial" w:hAnsi="Arial"/>
          <w:color w:val="1B2233"/>
          <w:sz w:val="21"/>
          <w:szCs w:val="21"/>
        </w:rPr>
        <w:t xml:space="preserve">FedRAMP 20x rewards machine-readable, continuously-validated evidence over screenshots and PDFs. AI finally makes continuous compliance tractable at the scale of a thousand-plus controls. And regulated organizations are moving to the cloud faster than their compliance processes can follow. The team that makes authorization automatic, continuous, and console-free will define how regulated cloud is run.</w:t>
      </w:r>
    </w:p>
    <w:p>
      <w:pPr>
        <w:spacing w:after="140" w:line="276"/>
      </w:pPr>
      <w:r>
        <w:rPr>
          <w:rFonts w:ascii="Arial" w:cs="Arial" w:eastAsia="Arial" w:hAnsi="Arial"/>
          <w:color w:val="1B2233"/>
          <w:sz w:val="21"/>
          <w:szCs w:val="21"/>
        </w:rPr>
        <w:t xml:space="preserve">TowerControls is that control plane — built, deployed, and proving itself today.</w:t>
      </w:r>
    </w:p>
    <w:p>
      <w:pPr>
        <w:pBdr>
          <w:top w:val="single" w:color="6A4DF0" w:sz="6" w:space="8"/>
        </w:pBdr>
        <w:spacing w:before="240"/>
      </w:pPr>
      <w:r>
        <w:rPr>
          <w:rFonts w:ascii="Arial" w:cs="Arial" w:eastAsia="Arial" w:hAnsi="Arial"/>
          <w:b/>
          <w:bCs/>
          <w:color w:val="16203A"/>
          <w:sz w:val="22"/>
          <w:szCs w:val="22"/>
        </w:rPr>
        <w:t xml:space="preserve">Learn more at towercontrols.ai</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DAE5" w:sz="4" w:space="6"/>
      </w:pBdr>
      <w:tabs>
        <w:tab w:val="right" w:pos="9026"/>
      </w:tabs>
    </w:pPr>
    <w:r>
      <w:rPr>
        <w:rFonts w:ascii="Arial" w:cs="Arial" w:eastAsia="Arial" w:hAnsi="Arial"/>
        <w:color w:val="5B6473"/>
        <w:sz w:val="16"/>
        <w:szCs w:val="16"/>
      </w:rPr>
      <w:t xml:space="preserve">TowerControls.Ai  ·  White Paper</w:t>
    </w:r>
    <w:r>
      <w:rPr>
        <w:rFonts w:ascii="Arial" w:cs="Arial" w:eastAsia="Arial" w:hAnsi="Arial"/>
        <w:sz w:val="16"/>
        <w:szCs w:val="16"/>
      </w:rPr>
      <w:t xml:space="preserve">	</w:t>
    </w:r>
    <w:r>
      <w:rPr>
        <w:rFonts w:ascii="Arial" w:cs="Arial" w:eastAsia="Arial" w:hAnsi="Arial"/>
        <w:color w:val="5B6473"/>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6A4DF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B22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mbria" w:cs="Cambria" w:eastAsia="Cambria" w:hAnsi="Cambria"/>
      <w:b/>
      <w:bCs/>
      <w:color w:val="16203A"/>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6A4DF0"/>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Microsoft Office Word</Application>
  <DocSecurity>0</DocSecurity>
  <ScaleCrop>false</ScaleCrop>
  <Company>TowerControls.Ai</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TowerControls.Ai — Sales Deck</dc:title>
  <dc:subject>PptxGenJS Presentation</dc:subject>
  <dc:creator>TowerControls.Ai</dc:creator>
  <cp:lastModifiedBy>TowerControls.Ai</cp:lastModifiedBy>
  <cp:revision>1</cp:revision>
  <dcterms:created xsi:type="dcterms:W3CDTF">2026-06-27T19:15:01Z</dcterms:created>
  <dcterms:modified xsi:type="dcterms:W3CDTF">2026-06-27T19:15:01Z</dcterms:modified>
</cp:coreProperties>
</file>

<file path=docProps/custom.xml><?xml version="1.0" encoding="utf-8"?>
<Properties xmlns="http://schemas.openxmlformats.org/officeDocument/2006/custom-properties" xmlns:vt="http://schemas.openxmlformats.org/officeDocument/2006/docPropsVTypes"/>
</file>